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eastAsia="宋体"/>
          <w:b/>
          <w:sz w:val="28"/>
          <w:szCs w:val="32"/>
        </w:rPr>
      </w:pPr>
      <w:r>
        <w:rPr>
          <w:rFonts w:hint="eastAsia" w:ascii="宋体" w:hAnsi="宋体" w:eastAsia="宋体"/>
          <w:b/>
          <w:sz w:val="28"/>
          <w:szCs w:val="32"/>
        </w:rPr>
        <w:t>四月“秘书节”系列活动之速录技能竞赛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一、活动主题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bCs/>
          <w:sz w:val="24"/>
          <w:szCs w:val="28"/>
        </w:rPr>
        <w:t>本次秘书节系列竞赛活动设置的第三项活动为速录技能竞赛</w:t>
      </w:r>
      <w:r>
        <w:rPr>
          <w:rFonts w:hint="eastAsia" w:ascii="宋体" w:hAnsi="宋体" w:eastAsia="宋体"/>
          <w:sz w:val="24"/>
          <w:szCs w:val="28"/>
        </w:rPr>
        <w:t>。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二、主办单位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安徽商贸职业技术学院文化与法律学院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ascii="宋体" w:hAnsi="宋体" w:eastAsia="宋体"/>
          <w:sz w:val="24"/>
          <w:szCs w:val="28"/>
        </w:rPr>
        <w:t>三、协办单位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速录协会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四、活动时间、地点及参与对象</w:t>
      </w:r>
    </w:p>
    <w:tbl>
      <w:tblPr>
        <w:tblStyle w:val="5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2127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7" w:type="dxa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竞赛时间</w:t>
            </w:r>
          </w:p>
        </w:tc>
        <w:tc>
          <w:tcPr>
            <w:tcW w:w="2127" w:type="dxa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参赛地点</w:t>
            </w:r>
          </w:p>
        </w:tc>
        <w:tc>
          <w:tcPr>
            <w:tcW w:w="2976" w:type="dxa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参赛对象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4077" w:type="dxa"/>
          </w:tcPr>
          <w:p>
            <w:pPr>
              <w:spacing w:line="440" w:lineRule="exact"/>
              <w:rPr>
                <w:rFonts w:hint="default" w:ascii="宋体" w:hAnsi="宋体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8"/>
              </w:rPr>
              <w:t>02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年4月2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日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eastAsia="zh-CN"/>
              </w:rPr>
              <w:t>—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val="en-US" w:eastAsia="zh-CN"/>
              </w:rPr>
              <w:t>4月26日</w:t>
            </w:r>
          </w:p>
        </w:tc>
        <w:tc>
          <w:tcPr>
            <w:tcW w:w="2127" w:type="dxa"/>
          </w:tcPr>
          <w:p>
            <w:pPr>
              <w:spacing w:line="440" w:lineRule="exac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砺能楼4-405</w:t>
            </w:r>
          </w:p>
        </w:tc>
        <w:tc>
          <w:tcPr>
            <w:tcW w:w="2976" w:type="dxa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202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级现代文秘专业学生</w:t>
            </w:r>
          </w:p>
        </w:tc>
      </w:tr>
    </w:tbl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五、活动内容和程序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（一）竞赛内容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1. 文本创建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参赛者在比赛时间内看赛题进行文字和符号的录入。在比赛规定时长内，参赛者可以进行编辑修改。赛题在比赛开始前，现场发放给每一位参赛者。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2. 实时记录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参赛者听现场播放的赛题声音进行速记。赛题为非匀速听打文章，语速范围40-60字/分。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（二）竞赛方式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</w:rPr>
        <w:t>比赛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为个人赛</w:t>
      </w:r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hint="eastAsia" w:ascii="宋体" w:hAnsi="宋体" w:eastAsia="宋体"/>
          <w:kern w:val="0"/>
          <w:sz w:val="24"/>
        </w:rPr>
        <w:t>每名选手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各项目的</w:t>
      </w:r>
      <w:r>
        <w:rPr>
          <w:rFonts w:hint="eastAsia" w:ascii="宋体" w:hAnsi="宋体" w:eastAsia="宋体"/>
          <w:kern w:val="0"/>
          <w:sz w:val="24"/>
        </w:rPr>
        <w:t>得分总和即为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个人</w:t>
      </w:r>
      <w:bookmarkStart w:id="0" w:name="_GoBack"/>
      <w:bookmarkEnd w:id="0"/>
      <w:r>
        <w:rPr>
          <w:rFonts w:hint="eastAsia" w:ascii="宋体" w:hAnsi="宋体" w:eastAsia="宋体"/>
          <w:kern w:val="0"/>
          <w:sz w:val="24"/>
        </w:rPr>
        <w:t>最终的比赛结果。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（三）评分方式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全部项目比赛完毕后，参赛选手通过相关软件将文本格式的答卷提交到教师机上。</w:t>
      </w:r>
      <w:r>
        <w:rPr>
          <w:rFonts w:hint="eastAsia" w:ascii="宋体" w:hAnsi="宋体" w:eastAsia="宋体" w:cs="宋体"/>
          <w:sz w:val="24"/>
        </w:rPr>
        <w:t>比赛结果由测评系统自动判定，</w:t>
      </w:r>
      <w:r>
        <w:rPr>
          <w:rFonts w:hint="eastAsia" w:ascii="宋体" w:hAnsi="宋体" w:eastAsia="宋体" w:cs="宋体"/>
          <w:sz w:val="24"/>
          <w:szCs w:val="28"/>
        </w:rPr>
        <w:t>竞赛成绩由专业老师统计</w:t>
      </w:r>
      <w:r>
        <w:rPr>
          <w:rFonts w:hint="eastAsia" w:ascii="宋体" w:hAnsi="宋体" w:eastAsia="宋体" w:cs="Malgun Gothic Semilight"/>
          <w:sz w:val="24"/>
          <w:szCs w:val="28"/>
        </w:rPr>
        <w:t>、</w:t>
      </w:r>
      <w:r>
        <w:rPr>
          <w:rFonts w:hint="eastAsia" w:ascii="宋体" w:hAnsi="宋体" w:eastAsia="宋体" w:cs="宋体"/>
          <w:sz w:val="24"/>
          <w:szCs w:val="28"/>
        </w:rPr>
        <w:t>公布</w:t>
      </w:r>
      <w:r>
        <w:rPr>
          <w:rFonts w:hint="eastAsia" w:ascii="宋体" w:hAnsi="宋体" w:eastAsia="宋体" w:cs="Malgun Gothic Semilight"/>
          <w:sz w:val="24"/>
          <w:szCs w:val="28"/>
        </w:rPr>
        <w:t>。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六、奖项设置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一等奖占参赛团队数的10%，院级</w:t>
      </w:r>
      <w:r>
        <w:rPr>
          <w:rFonts w:ascii="宋体" w:hAnsi="宋体" w:eastAsia="宋体"/>
          <w:sz w:val="24"/>
          <w:szCs w:val="28"/>
        </w:rPr>
        <w:t>获奖证书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二等奖占参赛团队数的15%</w:t>
      </w:r>
      <w:r>
        <w:rPr>
          <w:rFonts w:ascii="宋体" w:hAnsi="宋体" w:eastAsia="宋体"/>
          <w:sz w:val="24"/>
          <w:szCs w:val="28"/>
        </w:rPr>
        <w:t>，</w:t>
      </w:r>
      <w:r>
        <w:rPr>
          <w:rFonts w:hint="eastAsia" w:ascii="宋体" w:hAnsi="宋体" w:eastAsia="宋体"/>
          <w:sz w:val="24"/>
          <w:szCs w:val="28"/>
        </w:rPr>
        <w:t>院级</w:t>
      </w:r>
      <w:r>
        <w:rPr>
          <w:rFonts w:ascii="宋体" w:hAnsi="宋体" w:eastAsia="宋体"/>
          <w:sz w:val="24"/>
          <w:szCs w:val="28"/>
        </w:rPr>
        <w:t>获奖证书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  <w:sectPr>
          <w:pgSz w:w="11906" w:h="16838"/>
          <w:pgMar w:top="1418" w:right="1418" w:bottom="1418" w:left="1418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/>
          <w:sz w:val="24"/>
          <w:szCs w:val="28"/>
        </w:rPr>
        <w:t>三等奖占参赛团队数的25%</w:t>
      </w:r>
      <w:r>
        <w:rPr>
          <w:rFonts w:ascii="宋体" w:hAnsi="宋体" w:eastAsia="宋体"/>
          <w:sz w:val="24"/>
          <w:szCs w:val="28"/>
        </w:rPr>
        <w:t>，</w:t>
      </w:r>
      <w:r>
        <w:rPr>
          <w:rFonts w:hint="eastAsia" w:ascii="宋体" w:hAnsi="宋体" w:eastAsia="宋体"/>
          <w:sz w:val="24"/>
          <w:szCs w:val="28"/>
        </w:rPr>
        <w:t>院级</w:t>
      </w:r>
      <w:r>
        <w:rPr>
          <w:rFonts w:ascii="宋体" w:hAnsi="宋体" w:eastAsia="宋体"/>
          <w:sz w:val="24"/>
          <w:szCs w:val="28"/>
        </w:rPr>
        <w:t>获奖证书</w:t>
      </w:r>
    </w:p>
    <w:p>
      <w:pPr>
        <w:spacing w:line="440" w:lineRule="exact"/>
        <w:ind w:right="960"/>
        <w:rPr>
          <w:rFonts w:ascii="宋体" w:hAnsi="宋体" w:eastAsia="宋体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